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2E32ED85"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B1396">
        <w:rPr>
          <w:sz w:val="22"/>
          <w:szCs w:val="22"/>
          <w:lang w:val="en-GB"/>
        </w:rPr>
        <w:t>RORS00063</w:t>
      </w:r>
      <w:r w:rsidR="00910C4E">
        <w:rPr>
          <w:sz w:val="22"/>
          <w:szCs w:val="22"/>
          <w:lang w:val="en-GB"/>
        </w:rPr>
        <w:t>/IRM/04</w:t>
      </w:r>
      <w:r w:rsidR="00DF1AFC">
        <w:rPr>
          <w:sz w:val="22"/>
          <w:szCs w:val="22"/>
          <w:lang w:val="en-GB"/>
        </w:rPr>
        <w:t>/Lot 3</w:t>
      </w:r>
    </w:p>
    <w:p w14:paraId="0682B795" w14:textId="17271D2E"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B1396" w:rsidRPr="00975A8E">
        <w:rPr>
          <w:rStyle w:val="Strong"/>
          <w:sz w:val="22"/>
          <w:szCs w:val="22"/>
          <w:lang w:val="en-GB"/>
        </w:rPr>
        <w:t xml:space="preserve">Supply of </w:t>
      </w:r>
      <w:r w:rsidR="00D14D8F">
        <w:rPr>
          <w:rStyle w:val="Strong"/>
          <w:sz w:val="22"/>
          <w:szCs w:val="22"/>
          <w:lang w:val="en-GB"/>
        </w:rPr>
        <w:t xml:space="preserve">laboratory </w:t>
      </w:r>
      <w:r w:rsidR="00583D35" w:rsidRPr="00975A8E">
        <w:rPr>
          <w:rStyle w:val="Strong"/>
          <w:sz w:val="22"/>
          <w:szCs w:val="22"/>
          <w:lang w:val="en-GB"/>
        </w:rPr>
        <w:t>accessories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EB5A548" w:rsidR="0047783A" w:rsidRPr="006A5F84" w:rsidRDefault="0047783A" w:rsidP="0047783A">
      <w:pPr>
        <w:rPr>
          <w:b/>
          <w:sz w:val="22"/>
          <w:szCs w:val="22"/>
        </w:rPr>
      </w:pPr>
      <w:r w:rsidRPr="006A5F84">
        <w:rPr>
          <w:b/>
          <w:sz w:val="22"/>
          <w:szCs w:val="22"/>
        </w:rPr>
        <w:t xml:space="preserve">A: </w:t>
      </w:r>
      <w:r w:rsidR="00DB1396">
        <w:rPr>
          <w:b/>
          <w:sz w:val="22"/>
          <w:szCs w:val="22"/>
        </w:rPr>
        <w:t xml:space="preserve">Mining and Metallurgy Institute </w:t>
      </w:r>
      <w:proofErr w:type="spellStart"/>
      <w:r w:rsidR="00DB1396">
        <w:rPr>
          <w:b/>
          <w:sz w:val="22"/>
          <w:szCs w:val="22"/>
        </w:rPr>
        <w:t>Bor</w:t>
      </w:r>
      <w:proofErr w:type="spellEnd"/>
      <w:r w:rsidR="00DB1396">
        <w:rPr>
          <w:b/>
          <w:sz w:val="22"/>
          <w:szCs w:val="22"/>
        </w:rPr>
        <w:t xml:space="preserve">, 1 Alberta </w:t>
      </w:r>
      <w:proofErr w:type="spellStart"/>
      <w:r w:rsidR="00DB1396">
        <w:rPr>
          <w:b/>
          <w:sz w:val="22"/>
          <w:szCs w:val="22"/>
        </w:rPr>
        <w:t>Ajnštajna</w:t>
      </w:r>
      <w:proofErr w:type="spellEnd"/>
      <w:r w:rsidR="00DB1396">
        <w:rPr>
          <w:b/>
          <w:sz w:val="22"/>
          <w:szCs w:val="22"/>
        </w:rPr>
        <w:t xml:space="preserve">, 19210 </w:t>
      </w:r>
      <w:proofErr w:type="spellStart"/>
      <w:r w:rsidR="00DB1396">
        <w:rPr>
          <w:b/>
          <w:sz w:val="22"/>
          <w:szCs w:val="22"/>
        </w:rPr>
        <w:t>Bor</w:t>
      </w:r>
      <w:proofErr w:type="spellEnd"/>
      <w:r w:rsidR="00DB1396">
        <w:rPr>
          <w:b/>
          <w:sz w:val="22"/>
          <w:szCs w:val="22"/>
        </w:rPr>
        <w:t>, Republic of Serbia</w:t>
      </w:r>
      <w:proofErr w:type="gramStart"/>
      <w:r w:rsidR="00DB1396">
        <w:rPr>
          <w:b/>
          <w:sz w:val="22"/>
          <w:szCs w:val="22"/>
        </w:rPr>
        <w:t>.</w:t>
      </w:r>
      <w:r w:rsidRPr="006A5F84">
        <w:rPr>
          <w:b/>
          <w:sz w:val="22"/>
          <w:szCs w:val="22"/>
        </w:rPr>
        <w:t>.</w:t>
      </w:r>
      <w:proofErr w:type="gramEnd"/>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65ECA59" w14:textId="634FCE26" w:rsidR="00A45A0D" w:rsidRDefault="00A45A0D" w:rsidP="00513BFF">
      <w:pPr>
        <w:snapToGrid w:val="0"/>
        <w:spacing w:before="240" w:after="0"/>
        <w:jc w:val="both"/>
        <w:rPr>
          <w:sz w:val="22"/>
          <w:szCs w:val="22"/>
        </w:rPr>
      </w:pPr>
      <w:r>
        <w:rPr>
          <w:sz w:val="22"/>
          <w:szCs w:val="22"/>
        </w:rPr>
        <w:t xml:space="preserve">With regard to economic and financial criteria, the entities upon whose capacity the economic operator </w:t>
      </w:r>
      <w:proofErr w:type="gramStart"/>
      <w:r>
        <w:rPr>
          <w:sz w:val="22"/>
          <w:szCs w:val="22"/>
        </w:rPr>
        <w:t>relies,</w:t>
      </w:r>
      <w:proofErr w:type="gramEnd"/>
      <w:r>
        <w:rPr>
          <w:sz w:val="22"/>
          <w:szCs w:val="22"/>
        </w:rPr>
        <w:t xml:space="preserve"> become jointly and severally liable for the performance of the contract.</w:t>
      </w:r>
    </w:p>
    <w:p w14:paraId="00C5BA1B" w14:textId="77777777" w:rsidR="00513BFF" w:rsidRDefault="00513BFF" w:rsidP="00513BFF">
      <w:pPr>
        <w:snapToGrid w:val="0"/>
        <w:spacing w:before="240" w:after="0"/>
        <w:jc w:val="both"/>
        <w:rPr>
          <w:sz w:val="22"/>
          <w:szCs w:val="22"/>
        </w:rPr>
      </w:pPr>
    </w:p>
    <w:p w14:paraId="45AE2AFF" w14:textId="77777777" w:rsidR="00513BFF" w:rsidRDefault="00513BFF" w:rsidP="00513BFF">
      <w:pPr>
        <w:snapToGrid w:val="0"/>
        <w:spacing w:before="240" w:after="0"/>
        <w:jc w:val="both"/>
        <w:rPr>
          <w:sz w:val="22"/>
          <w:szCs w:val="22"/>
        </w:rPr>
      </w:pPr>
    </w:p>
    <w:p w14:paraId="34004AA5" w14:textId="77777777" w:rsidR="00513BFF" w:rsidRDefault="00513BFF" w:rsidP="00513BFF">
      <w:pPr>
        <w:snapToGrid w:val="0"/>
        <w:spacing w:before="240" w:after="0"/>
        <w:jc w:val="both"/>
        <w:rPr>
          <w:sz w:val="22"/>
          <w:szCs w:val="22"/>
        </w:rPr>
      </w:pPr>
    </w:p>
    <w:p w14:paraId="4C1D8FBA" w14:textId="77777777" w:rsidR="00513BFF" w:rsidRDefault="00513BFF" w:rsidP="00513BFF">
      <w:pPr>
        <w:snapToGrid w:val="0"/>
        <w:spacing w:before="240" w:after="0"/>
        <w:jc w:val="both"/>
        <w:rPr>
          <w:sz w:val="22"/>
          <w:szCs w:val="22"/>
        </w:rPr>
      </w:pPr>
    </w:p>
    <w:p w14:paraId="4915219D" w14:textId="77777777" w:rsidR="00513BFF" w:rsidRPr="00513BFF" w:rsidRDefault="00513BFF" w:rsidP="00513BFF">
      <w:pPr>
        <w:snapToGrid w:val="0"/>
        <w:spacing w:before="240" w:after="0"/>
        <w:jc w:val="both"/>
        <w:rPr>
          <w:sz w:val="22"/>
          <w:szCs w:val="22"/>
          <w:highlight w:val="yellow"/>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6F806123" w:rsidR="00B34C65" w:rsidRDefault="00513BFF" w:rsidP="00B34C65">
            <w:pPr>
              <w:widowControl w:val="0"/>
              <w:spacing w:before="60" w:after="60"/>
              <w:jc w:val="center"/>
              <w:rPr>
                <w:b/>
                <w:sz w:val="22"/>
                <w:szCs w:val="22"/>
              </w:rPr>
            </w:pPr>
            <w:r>
              <w:rPr>
                <w:b/>
                <w:sz w:val="22"/>
                <w:szCs w:val="22"/>
              </w:rPr>
              <w:t>202</w:t>
            </w:r>
            <w:r w:rsidR="00386207">
              <w:rPr>
                <w:b/>
                <w:sz w:val="22"/>
                <w:szCs w:val="22"/>
              </w:rPr>
              <w:t>1</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575124D8" w:rsidR="00B34C65" w:rsidRDefault="00B34C65" w:rsidP="00B34C65">
            <w:pPr>
              <w:widowControl w:val="0"/>
              <w:spacing w:before="60" w:after="60"/>
              <w:jc w:val="center"/>
              <w:rPr>
                <w:b/>
                <w:sz w:val="22"/>
                <w:szCs w:val="22"/>
              </w:rPr>
            </w:pPr>
            <w:r w:rsidRPr="006A5F84">
              <w:rPr>
                <w:b/>
              </w:rPr>
              <w:t>Year before last year</w:t>
            </w:r>
            <w:r w:rsidRPr="006A5F84">
              <w:rPr>
                <w:b/>
              </w:rPr>
              <w:br/>
            </w:r>
            <w:r w:rsidR="00513BFF">
              <w:rPr>
                <w:b/>
                <w:sz w:val="22"/>
                <w:szCs w:val="22"/>
              </w:rPr>
              <w:t>202</w:t>
            </w:r>
            <w:r w:rsidR="00386207">
              <w:rPr>
                <w:b/>
                <w:sz w:val="22"/>
                <w:szCs w:val="22"/>
              </w:rPr>
              <w:t>2</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06B43B1F" w:rsidR="00B34C65" w:rsidRDefault="00B34C65" w:rsidP="00B34C65">
            <w:pPr>
              <w:widowControl w:val="0"/>
              <w:spacing w:before="60" w:after="60"/>
              <w:jc w:val="center"/>
              <w:rPr>
                <w:b/>
                <w:sz w:val="22"/>
                <w:szCs w:val="22"/>
              </w:rPr>
            </w:pPr>
            <w:r w:rsidRPr="006A5F84">
              <w:rPr>
                <w:b/>
              </w:rPr>
              <w:t>Last year</w:t>
            </w:r>
            <w:r w:rsidRPr="006A5F84">
              <w:rPr>
                <w:b/>
              </w:rPr>
              <w:br/>
            </w:r>
            <w:r w:rsidR="00513BFF">
              <w:rPr>
                <w:b/>
                <w:sz w:val="22"/>
                <w:szCs w:val="22"/>
              </w:rPr>
              <w:t>202</w:t>
            </w:r>
            <w:r w:rsidR="00386207">
              <w:rPr>
                <w:b/>
                <w:sz w:val="22"/>
                <w:szCs w:val="22"/>
              </w:rPr>
              <w:t>3</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479BE88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DDCD6BD" w14:textId="050B13EF"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B1396" w:rsidRPr="00513BFF">
        <w:rPr>
          <w:sz w:val="22"/>
          <w:szCs w:val="22"/>
        </w:rPr>
        <w:t>RORS00063</w:t>
      </w:r>
      <w:r w:rsidR="00513BFF">
        <w:rPr>
          <w:sz w:val="22"/>
          <w:szCs w:val="22"/>
        </w:rPr>
        <w:t>/IRM/04</w:t>
      </w:r>
      <w:r w:rsidR="00DF1AFC">
        <w:rPr>
          <w:sz w:val="22"/>
          <w:szCs w:val="22"/>
        </w:rPr>
        <w:t>/Lot 3</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5A341291"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513BFF">
        <w:rPr>
          <w:sz w:val="22"/>
          <w:szCs w:val="22"/>
        </w:rPr>
        <w:t xml:space="preserve">We offer to deliver, in accordance with the terms of the tender dossier and the conditions and time limits </w:t>
      </w:r>
      <w:proofErr w:type="gramStart"/>
      <w:r w:rsidRPr="00513BFF">
        <w:rPr>
          <w:sz w:val="22"/>
          <w:szCs w:val="22"/>
        </w:rPr>
        <w:t>laid</w:t>
      </w:r>
      <w:proofErr w:type="gramEnd"/>
      <w:r w:rsidRPr="00513BFF">
        <w:rPr>
          <w:sz w:val="22"/>
          <w:szCs w:val="22"/>
        </w:rPr>
        <w:t xml:space="preserve"> down, without reserve or restriction</w:t>
      </w:r>
      <w:r w:rsidRPr="004F0604">
        <w:rPr>
          <w:sz w:val="22"/>
          <w:szCs w:val="22"/>
          <w:highlight w:val="lightGray"/>
        </w:rPr>
        <w:t>:</w:t>
      </w:r>
    </w:p>
    <w:p w14:paraId="48E2385F" w14:textId="41D9F362" w:rsidR="00657CEF" w:rsidRPr="00DF1AFC" w:rsidRDefault="00513BFF" w:rsidP="00DF1AFC">
      <w:pPr>
        <w:ind w:left="709"/>
        <w:jc w:val="both"/>
        <w:rPr>
          <w:bCs/>
          <w:sz w:val="22"/>
          <w:szCs w:val="22"/>
          <w:lang w:val="sr-Latn-RS"/>
        </w:rPr>
      </w:pPr>
      <w:r w:rsidRPr="00513BFF">
        <w:rPr>
          <w:bCs/>
          <w:sz w:val="22"/>
          <w:szCs w:val="22"/>
        </w:rPr>
        <w:t>Lot 3</w:t>
      </w:r>
      <w:r>
        <w:rPr>
          <w:bCs/>
          <w:sz w:val="22"/>
          <w:szCs w:val="22"/>
          <w:lang w:val="sr-Latn-RS"/>
        </w:rPr>
        <w:t xml:space="preserve">: </w:t>
      </w:r>
      <w:r w:rsidR="00D14D8F">
        <w:rPr>
          <w:b/>
          <w:sz w:val="24"/>
          <w:szCs w:val="24"/>
        </w:rPr>
        <w:t>Laboratory a</w:t>
      </w:r>
      <w:bookmarkStart w:id="2" w:name="_GoBack"/>
      <w:bookmarkEnd w:id="2"/>
      <w:r w:rsidRPr="00566CA2">
        <w:rPr>
          <w:b/>
          <w:sz w:val="24"/>
          <w:szCs w:val="24"/>
        </w:rPr>
        <w:t>ccessories</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26"/>
        <w:gridCol w:w="1358"/>
        <w:gridCol w:w="1223"/>
        <w:gridCol w:w="1087"/>
        <w:gridCol w:w="1087"/>
        <w:gridCol w:w="951"/>
        <w:gridCol w:w="951"/>
      </w:tblGrid>
      <w:tr w:rsidR="00B95E2A" w:rsidRPr="006A5F84" w14:paraId="1175720A" w14:textId="77777777" w:rsidTr="00BF39B1">
        <w:trPr>
          <w:trHeight w:val="1908"/>
        </w:trPr>
        <w:tc>
          <w:tcPr>
            <w:tcW w:w="3126"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358"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3B4E3D42" w:rsidR="00B95E2A" w:rsidRPr="006A5F84" w:rsidRDefault="00513BFF" w:rsidP="0047783A">
            <w:pPr>
              <w:keepNext/>
              <w:keepLines/>
              <w:widowControl w:val="0"/>
              <w:jc w:val="center"/>
              <w:rPr>
                <w:b/>
                <w:sz w:val="22"/>
                <w:szCs w:val="22"/>
              </w:rPr>
            </w:pPr>
            <w:r>
              <w:rPr>
                <w:b/>
                <w:sz w:val="22"/>
                <w:szCs w:val="22"/>
              </w:rPr>
              <w:t>202</w:t>
            </w:r>
            <w:r w:rsidR="00386207">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23"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2938AE7F" w:rsidR="00B95E2A" w:rsidRPr="006A5F84" w:rsidRDefault="00513BFF" w:rsidP="0047783A">
            <w:pPr>
              <w:keepNext/>
              <w:keepLines/>
              <w:widowControl w:val="0"/>
              <w:jc w:val="center"/>
              <w:rPr>
                <w:b/>
                <w:sz w:val="22"/>
                <w:szCs w:val="22"/>
              </w:rPr>
            </w:pPr>
            <w:r>
              <w:rPr>
                <w:b/>
                <w:sz w:val="22"/>
                <w:szCs w:val="22"/>
              </w:rPr>
              <w:t>202</w:t>
            </w:r>
            <w:r w:rsidR="00386207">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7"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35BF8A8D" w:rsidR="00B95E2A" w:rsidRPr="006A5F84" w:rsidRDefault="00513BFF" w:rsidP="0047783A">
            <w:pPr>
              <w:keepNext/>
              <w:keepLines/>
              <w:widowControl w:val="0"/>
              <w:jc w:val="center"/>
              <w:rPr>
                <w:b/>
                <w:sz w:val="22"/>
                <w:szCs w:val="22"/>
              </w:rPr>
            </w:pPr>
            <w:r>
              <w:rPr>
                <w:b/>
                <w:sz w:val="22"/>
                <w:szCs w:val="22"/>
              </w:rPr>
              <w:t>202</w:t>
            </w:r>
            <w:r w:rsidR="00386207">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7"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51"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51"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BF39B1">
        <w:trPr>
          <w:cantSplit/>
          <w:trHeight w:val="641"/>
        </w:trPr>
        <w:tc>
          <w:tcPr>
            <w:tcW w:w="3126"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358"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23"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7"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7"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51"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51"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BF39B1">
        <w:trPr>
          <w:cantSplit/>
          <w:trHeight w:val="381"/>
        </w:trPr>
        <w:tc>
          <w:tcPr>
            <w:tcW w:w="3126"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358" w:type="dxa"/>
            <w:tcBorders>
              <w:top w:val="nil"/>
            </w:tcBorders>
          </w:tcPr>
          <w:p w14:paraId="05B8862C" w14:textId="77777777" w:rsidR="00B95E2A" w:rsidRPr="006A5F84" w:rsidRDefault="00B95E2A" w:rsidP="0047783A">
            <w:pPr>
              <w:keepNext/>
              <w:keepLines/>
              <w:widowControl w:val="0"/>
              <w:rPr>
                <w:sz w:val="22"/>
                <w:szCs w:val="22"/>
              </w:rPr>
            </w:pPr>
          </w:p>
        </w:tc>
        <w:tc>
          <w:tcPr>
            <w:tcW w:w="1223" w:type="dxa"/>
            <w:tcBorders>
              <w:top w:val="nil"/>
            </w:tcBorders>
          </w:tcPr>
          <w:p w14:paraId="13000AC6" w14:textId="77777777" w:rsidR="00B95E2A" w:rsidRPr="006A5F84" w:rsidRDefault="00B95E2A" w:rsidP="0047783A">
            <w:pPr>
              <w:keepNext/>
              <w:keepLines/>
              <w:widowControl w:val="0"/>
              <w:rPr>
                <w:sz w:val="22"/>
                <w:szCs w:val="22"/>
              </w:rPr>
            </w:pPr>
          </w:p>
        </w:tc>
        <w:tc>
          <w:tcPr>
            <w:tcW w:w="1087"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7"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51"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51"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BF39B1">
        <w:trPr>
          <w:cantSplit/>
          <w:trHeight w:val="381"/>
        </w:trPr>
        <w:tc>
          <w:tcPr>
            <w:tcW w:w="3126"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358" w:type="dxa"/>
          </w:tcPr>
          <w:p w14:paraId="43101753" w14:textId="77777777" w:rsidR="00B95E2A" w:rsidRPr="006A5F84" w:rsidRDefault="00B95E2A" w:rsidP="0047783A">
            <w:pPr>
              <w:keepNext/>
              <w:keepLines/>
              <w:widowControl w:val="0"/>
              <w:rPr>
                <w:sz w:val="22"/>
                <w:szCs w:val="22"/>
              </w:rPr>
            </w:pPr>
          </w:p>
        </w:tc>
        <w:tc>
          <w:tcPr>
            <w:tcW w:w="1223" w:type="dxa"/>
          </w:tcPr>
          <w:p w14:paraId="5B5B92EF" w14:textId="77777777" w:rsidR="00B95E2A" w:rsidRPr="006A5F84" w:rsidRDefault="00B95E2A"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51"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51"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BF39B1">
        <w:trPr>
          <w:cantSplit/>
          <w:trHeight w:val="885"/>
        </w:trPr>
        <w:tc>
          <w:tcPr>
            <w:tcW w:w="3126"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358"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23"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087"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51"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51"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2"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1A447006" w14:textId="5E74263F" w:rsidR="00F330B9" w:rsidRPr="009473A5" w:rsidRDefault="00F330B9" w:rsidP="004F0604">
      <w:pPr>
        <w:widowControl w:val="0"/>
        <w:jc w:val="both"/>
        <w:rPr>
          <w:sz w:val="22"/>
          <w:szCs w:val="22"/>
        </w:rPr>
      </w:pPr>
    </w:p>
    <w:sectPr w:rsidR="00F330B9" w:rsidRPr="009473A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181FE" w14:textId="77777777" w:rsidR="00B80082" w:rsidRPr="006A5F84" w:rsidRDefault="00B80082">
      <w:r w:rsidRPr="006A5F84">
        <w:separator/>
      </w:r>
    </w:p>
  </w:endnote>
  <w:endnote w:type="continuationSeparator" w:id="0">
    <w:p w14:paraId="1E9414B5" w14:textId="77777777" w:rsidR="00B80082" w:rsidRPr="006A5F84" w:rsidRDefault="00B8008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14D8F">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14D8F">
      <w:rPr>
        <w:noProof/>
        <w:sz w:val="18"/>
        <w:szCs w:val="18"/>
      </w:rPr>
      <w:t>11</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14D8F">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14D8F">
      <w:rPr>
        <w:noProof/>
        <w:sz w:val="18"/>
        <w:szCs w:val="18"/>
      </w:rPr>
      <w:t>11</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14D8F">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14D8F">
      <w:rPr>
        <w:noProof/>
        <w:sz w:val="18"/>
        <w:szCs w:val="18"/>
      </w:rPr>
      <w:t>11</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14D8F">
      <w:rPr>
        <w:rStyle w:val="PageNumber"/>
        <w:noProof/>
        <w:sz w:val="18"/>
        <w:szCs w:val="18"/>
      </w:rPr>
      <w:t>11</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14D8F">
      <w:rPr>
        <w:rStyle w:val="PageNumber"/>
        <w:noProof/>
        <w:sz w:val="18"/>
        <w:szCs w:val="18"/>
      </w:rPr>
      <w:t>11</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14D8F">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14D8F">
      <w:rPr>
        <w:rStyle w:val="PageNumber"/>
        <w:noProof/>
        <w:sz w:val="18"/>
        <w:szCs w:val="18"/>
      </w:rPr>
      <w:t>11</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36045" w14:textId="77777777" w:rsidR="00B80082" w:rsidRPr="006A5F84" w:rsidRDefault="00B80082">
      <w:r w:rsidRPr="006A5F84">
        <w:separator/>
      </w:r>
    </w:p>
  </w:footnote>
  <w:footnote w:type="continuationSeparator" w:id="0">
    <w:p w14:paraId="03F9D7FF" w14:textId="77777777" w:rsidR="00B80082" w:rsidRPr="006A5F84" w:rsidRDefault="00B80082">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proofErr w:type="gramStart"/>
      <w:r w:rsidRPr="004C51DD">
        <w:rPr>
          <w:color w:val="000000"/>
        </w:rPr>
        <w:t>A balance sheet account that represents the value of all assets that are reasonably expected to be converted into cash within one year in the normal course of business.</w:t>
      </w:r>
      <w:proofErr w:type="gramEnd"/>
      <w:r w:rsidRPr="004C51DD">
        <w:rPr>
          <w:color w:val="000000"/>
        </w:rPr>
        <w:t xml:space="preserve">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09505" w14:textId="77777777" w:rsidR="00B60E33" w:rsidRDefault="00B60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5C358" w14:textId="77777777" w:rsidR="00B60E33" w:rsidRDefault="00B60E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4EF51" w14:textId="77777777" w:rsidR="00B60E33" w:rsidRDefault="00B60E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15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45C4"/>
    <w:rsid w:val="00360344"/>
    <w:rsid w:val="003613D2"/>
    <w:rsid w:val="00371851"/>
    <w:rsid w:val="00371F01"/>
    <w:rsid w:val="003721AD"/>
    <w:rsid w:val="00372540"/>
    <w:rsid w:val="00374C87"/>
    <w:rsid w:val="00376642"/>
    <w:rsid w:val="00376CCD"/>
    <w:rsid w:val="00384BAB"/>
    <w:rsid w:val="00385FFC"/>
    <w:rsid w:val="00386207"/>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43E6B"/>
    <w:rsid w:val="00450522"/>
    <w:rsid w:val="0045310F"/>
    <w:rsid w:val="004554CB"/>
    <w:rsid w:val="004607CD"/>
    <w:rsid w:val="0047559E"/>
    <w:rsid w:val="00476553"/>
    <w:rsid w:val="004775D2"/>
    <w:rsid w:val="0047775D"/>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3BFF"/>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3D35"/>
    <w:rsid w:val="00586D6C"/>
    <w:rsid w:val="00587205"/>
    <w:rsid w:val="00591F23"/>
    <w:rsid w:val="00592B37"/>
    <w:rsid w:val="00593550"/>
    <w:rsid w:val="005A3AB2"/>
    <w:rsid w:val="005B2018"/>
    <w:rsid w:val="005C0EA1"/>
    <w:rsid w:val="005C78BC"/>
    <w:rsid w:val="005D72F7"/>
    <w:rsid w:val="005F3C51"/>
    <w:rsid w:val="005F62D0"/>
    <w:rsid w:val="005F7E20"/>
    <w:rsid w:val="00601A79"/>
    <w:rsid w:val="00604A86"/>
    <w:rsid w:val="00604B09"/>
    <w:rsid w:val="00623422"/>
    <w:rsid w:val="00625CFA"/>
    <w:rsid w:val="006311FE"/>
    <w:rsid w:val="00633829"/>
    <w:rsid w:val="00636E8F"/>
    <w:rsid w:val="006408AC"/>
    <w:rsid w:val="00640D24"/>
    <w:rsid w:val="00655C1F"/>
    <w:rsid w:val="00657945"/>
    <w:rsid w:val="00657CEF"/>
    <w:rsid w:val="00661B3C"/>
    <w:rsid w:val="00664C9B"/>
    <w:rsid w:val="0066519D"/>
    <w:rsid w:val="00673409"/>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DE7"/>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7F8"/>
    <w:rsid w:val="008808CB"/>
    <w:rsid w:val="008847D1"/>
    <w:rsid w:val="00885882"/>
    <w:rsid w:val="008859E6"/>
    <w:rsid w:val="00892CE9"/>
    <w:rsid w:val="008934F5"/>
    <w:rsid w:val="008A048D"/>
    <w:rsid w:val="008A39B7"/>
    <w:rsid w:val="008B63D9"/>
    <w:rsid w:val="008C4E79"/>
    <w:rsid w:val="008C5A40"/>
    <w:rsid w:val="008C5DAA"/>
    <w:rsid w:val="008C66AA"/>
    <w:rsid w:val="008C7630"/>
    <w:rsid w:val="008E40E2"/>
    <w:rsid w:val="008F3866"/>
    <w:rsid w:val="00910C4E"/>
    <w:rsid w:val="009143FD"/>
    <w:rsid w:val="00914FFB"/>
    <w:rsid w:val="00920A51"/>
    <w:rsid w:val="00922542"/>
    <w:rsid w:val="009251E3"/>
    <w:rsid w:val="0093582A"/>
    <w:rsid w:val="00935844"/>
    <w:rsid w:val="00935B62"/>
    <w:rsid w:val="00941448"/>
    <w:rsid w:val="00942609"/>
    <w:rsid w:val="009440EC"/>
    <w:rsid w:val="0094670B"/>
    <w:rsid w:val="009473A5"/>
    <w:rsid w:val="00951374"/>
    <w:rsid w:val="009551FE"/>
    <w:rsid w:val="009676C2"/>
    <w:rsid w:val="00975A8E"/>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4E26"/>
    <w:rsid w:val="00AC74AC"/>
    <w:rsid w:val="00AC7636"/>
    <w:rsid w:val="00AD10B2"/>
    <w:rsid w:val="00AD281B"/>
    <w:rsid w:val="00AD2D93"/>
    <w:rsid w:val="00AD3AD6"/>
    <w:rsid w:val="00AE5192"/>
    <w:rsid w:val="00AE6600"/>
    <w:rsid w:val="00AE71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082"/>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BF39B1"/>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0DFA"/>
    <w:rsid w:val="00D02E23"/>
    <w:rsid w:val="00D0611C"/>
    <w:rsid w:val="00D073F9"/>
    <w:rsid w:val="00D14D8F"/>
    <w:rsid w:val="00D243E7"/>
    <w:rsid w:val="00D24469"/>
    <w:rsid w:val="00D24893"/>
    <w:rsid w:val="00D312D2"/>
    <w:rsid w:val="00D42267"/>
    <w:rsid w:val="00D43612"/>
    <w:rsid w:val="00D46C74"/>
    <w:rsid w:val="00D52CBF"/>
    <w:rsid w:val="00D576CA"/>
    <w:rsid w:val="00D6453E"/>
    <w:rsid w:val="00D64597"/>
    <w:rsid w:val="00D662AA"/>
    <w:rsid w:val="00D66F04"/>
    <w:rsid w:val="00D678AC"/>
    <w:rsid w:val="00D71AF3"/>
    <w:rsid w:val="00D75213"/>
    <w:rsid w:val="00D83D1B"/>
    <w:rsid w:val="00D90043"/>
    <w:rsid w:val="00D93C63"/>
    <w:rsid w:val="00D95523"/>
    <w:rsid w:val="00D979C6"/>
    <w:rsid w:val="00DA4AB8"/>
    <w:rsid w:val="00DB1396"/>
    <w:rsid w:val="00DC50E2"/>
    <w:rsid w:val="00DC54A0"/>
    <w:rsid w:val="00DC608A"/>
    <w:rsid w:val="00DC6C9C"/>
    <w:rsid w:val="00DD0624"/>
    <w:rsid w:val="00DD104A"/>
    <w:rsid w:val="00DD13B0"/>
    <w:rsid w:val="00DD14D3"/>
    <w:rsid w:val="00DD18A3"/>
    <w:rsid w:val="00DE0B7E"/>
    <w:rsid w:val="00DE13B8"/>
    <w:rsid w:val="00DE7055"/>
    <w:rsid w:val="00DE71AB"/>
    <w:rsid w:val="00DF1AFC"/>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4454"/>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0506"/>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78D4A-8BE8-468C-86A6-058B60B6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2102</Words>
  <Characters>11982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15</cp:revision>
  <cp:lastPrinted>2012-09-24T09:39:00Z</cp:lastPrinted>
  <dcterms:created xsi:type="dcterms:W3CDTF">2025-01-10T07:36:00Z</dcterms:created>
  <dcterms:modified xsi:type="dcterms:W3CDTF">2025-05-18T17:27:00Z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75ff3d8e5bf44dacd0180721a335cc42fe43f54996001b4461d99cc36553e500</vt:lpwstr>
  </property>
</Properties>
</file>